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FA" w:rsidRDefault="00544CFA" w:rsidP="00544CFA">
      <w:pPr>
        <w:shd w:val="clear" w:color="auto" w:fill="FFFFFF"/>
        <w:spacing w:after="0" w:line="240" w:lineRule="auto"/>
        <w:jc w:val="center"/>
        <w:textAlignment w:val="baseline"/>
        <w:outlineLvl w:val="4"/>
        <w:rPr>
          <w:rFonts w:ascii="Arial" w:eastAsia="Times New Roman" w:hAnsi="Arial" w:cs="Arial"/>
          <w:b/>
          <w:bCs/>
          <w:color w:val="383838"/>
          <w:sz w:val="33"/>
          <w:szCs w:val="33"/>
          <w:bdr w:val="none" w:sz="0" w:space="0" w:color="auto" w:frame="1"/>
        </w:rPr>
      </w:pPr>
      <w:bookmarkStart w:id="0" w:name="_GoBack"/>
      <w:r>
        <w:rPr>
          <w:rFonts w:ascii="Arial" w:eastAsia="Times New Roman" w:hAnsi="Arial" w:cs="Arial"/>
          <w:b/>
          <w:bCs/>
          <w:noProof/>
          <w:color w:val="383838"/>
          <w:sz w:val="33"/>
          <w:szCs w:val="33"/>
          <w:bdr w:val="none" w:sz="0" w:space="0" w:color="auto" w:frame="1"/>
        </w:rPr>
        <w:drawing>
          <wp:inline distT="0" distB="0" distL="0" distR="0">
            <wp:extent cx="5943198" cy="2708031"/>
            <wp:effectExtent l="0" t="0" r="635" b="0"/>
            <wp:docPr id="1" name="Picture 1" descr="C:\Users\hp1\Desktop\Pictur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esktop\Picture1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08214"/>
                    </a:xfrm>
                    <a:prstGeom prst="rect">
                      <a:avLst/>
                    </a:prstGeom>
                    <a:noFill/>
                    <a:ln>
                      <a:noFill/>
                    </a:ln>
                  </pic:spPr>
                </pic:pic>
              </a:graphicData>
            </a:graphic>
          </wp:inline>
        </w:drawing>
      </w:r>
      <w:bookmarkEnd w:id="0"/>
    </w:p>
    <w:p w:rsidR="00544CFA" w:rsidRDefault="00544CFA" w:rsidP="00544CFA">
      <w:pPr>
        <w:shd w:val="clear" w:color="auto" w:fill="FFFFFF"/>
        <w:spacing w:after="0" w:line="240" w:lineRule="auto"/>
        <w:textAlignment w:val="baseline"/>
        <w:outlineLvl w:val="4"/>
        <w:rPr>
          <w:rFonts w:ascii="Arial" w:eastAsia="Times New Roman" w:hAnsi="Arial" w:cs="Arial"/>
          <w:b/>
          <w:bCs/>
          <w:color w:val="383838"/>
          <w:sz w:val="33"/>
          <w:szCs w:val="33"/>
          <w:bdr w:val="none" w:sz="0" w:space="0" w:color="auto" w:frame="1"/>
        </w:rPr>
      </w:pPr>
    </w:p>
    <w:p w:rsidR="00544CFA" w:rsidRDefault="00544CFA" w:rsidP="00544CFA">
      <w:pPr>
        <w:shd w:val="clear" w:color="auto" w:fill="FFFFFF"/>
        <w:spacing w:after="0" w:line="240" w:lineRule="auto"/>
        <w:textAlignment w:val="baseline"/>
        <w:outlineLvl w:val="4"/>
        <w:rPr>
          <w:rFonts w:ascii="Arial" w:hAnsi="Arial" w:cs="Arial"/>
          <w:b/>
          <w:bCs/>
          <w:color w:val="181818"/>
          <w:sz w:val="41"/>
          <w:szCs w:val="41"/>
          <w:shd w:val="clear" w:color="auto" w:fill="FFFFFF"/>
        </w:rPr>
      </w:pPr>
      <w:proofErr w:type="spellStart"/>
      <w:r>
        <w:rPr>
          <w:rFonts w:ascii="Arial" w:hAnsi="Arial" w:cs="Arial"/>
          <w:b/>
          <w:bCs/>
          <w:color w:val="181818"/>
          <w:sz w:val="41"/>
          <w:szCs w:val="41"/>
          <w:shd w:val="clear" w:color="auto" w:fill="FFFFFF"/>
        </w:rPr>
        <w:t>Petrophysical</w:t>
      </w:r>
      <w:proofErr w:type="spellEnd"/>
      <w:r>
        <w:rPr>
          <w:rFonts w:ascii="Arial" w:hAnsi="Arial" w:cs="Arial"/>
          <w:b/>
          <w:bCs/>
          <w:color w:val="181818"/>
          <w:sz w:val="41"/>
          <w:szCs w:val="41"/>
          <w:shd w:val="clear" w:color="auto" w:fill="FFFFFF"/>
        </w:rPr>
        <w:t xml:space="preserve"> Services</w:t>
      </w:r>
    </w:p>
    <w:p w:rsidR="00544CFA" w:rsidRDefault="00544CFA" w:rsidP="00544CFA">
      <w:pPr>
        <w:shd w:val="clear" w:color="auto" w:fill="FFFFFF"/>
        <w:spacing w:after="0" w:line="240" w:lineRule="auto"/>
        <w:textAlignment w:val="baseline"/>
        <w:outlineLvl w:val="4"/>
        <w:rPr>
          <w:rFonts w:ascii="Arial" w:eastAsia="Times New Roman" w:hAnsi="Arial" w:cs="Arial"/>
          <w:b/>
          <w:bCs/>
          <w:color w:val="383838"/>
          <w:sz w:val="33"/>
          <w:szCs w:val="33"/>
          <w:bdr w:val="none" w:sz="0" w:space="0" w:color="auto" w:frame="1"/>
        </w:rPr>
      </w:pPr>
    </w:p>
    <w:p w:rsidR="00544CFA" w:rsidRPr="00544CFA" w:rsidRDefault="00544CFA" w:rsidP="00544CFA">
      <w:pPr>
        <w:shd w:val="clear" w:color="auto" w:fill="FFFFFF"/>
        <w:spacing w:after="0" w:line="240" w:lineRule="auto"/>
        <w:textAlignment w:val="baseline"/>
        <w:outlineLvl w:val="4"/>
        <w:rPr>
          <w:rFonts w:ascii="Arial" w:eastAsia="Times New Roman" w:hAnsi="Arial" w:cs="Arial"/>
          <w:b/>
          <w:bCs/>
          <w:color w:val="383838"/>
          <w:sz w:val="33"/>
          <w:szCs w:val="33"/>
        </w:rPr>
      </w:pPr>
      <w:r w:rsidRPr="00544CFA">
        <w:rPr>
          <w:rFonts w:ascii="Arial" w:eastAsia="Times New Roman" w:hAnsi="Arial" w:cs="Arial"/>
          <w:b/>
          <w:bCs/>
          <w:color w:val="383838"/>
          <w:sz w:val="33"/>
          <w:szCs w:val="33"/>
          <w:bdr w:val="none" w:sz="0" w:space="0" w:color="auto" w:frame="1"/>
        </w:rPr>
        <w:t>Introduction</w:t>
      </w:r>
    </w:p>
    <w:p w:rsidR="00544CFA" w:rsidRPr="00544CFA" w:rsidRDefault="00544CFA" w:rsidP="00544CFA">
      <w:pPr>
        <w:shd w:val="clear" w:color="auto" w:fill="FFFFFF"/>
        <w:spacing w:after="0" w:line="240" w:lineRule="auto"/>
        <w:textAlignment w:val="baseline"/>
        <w:rPr>
          <w:rFonts w:ascii="Arial" w:eastAsia="Times New Roman" w:hAnsi="Arial" w:cs="Arial"/>
          <w:color w:val="727272"/>
          <w:sz w:val="23"/>
          <w:szCs w:val="23"/>
        </w:rPr>
      </w:pPr>
      <w:r w:rsidRPr="00544CFA">
        <w:rPr>
          <w:rFonts w:ascii="Arial" w:eastAsia="Times New Roman" w:hAnsi="Arial" w:cs="Arial"/>
          <w:b/>
          <w:bCs/>
          <w:color w:val="D40000"/>
          <w:sz w:val="23"/>
          <w:szCs w:val="23"/>
          <w:bdr w:val="none" w:sz="0" w:space="0" w:color="auto" w:frame="1"/>
        </w:rPr>
        <w:t>ROCKSERV</w:t>
      </w:r>
      <w:r w:rsidRPr="00544CFA">
        <w:rPr>
          <w:rFonts w:ascii="Arial" w:eastAsia="Times New Roman" w:hAnsi="Arial" w:cs="Arial"/>
          <w:color w:val="727272"/>
          <w:sz w:val="23"/>
          <w:szCs w:val="23"/>
          <w:bdr w:val="none" w:sz="0" w:space="0" w:color="auto" w:frame="1"/>
        </w:rPr>
        <w:t xml:space="preserve"> experienced </w:t>
      </w:r>
      <w:proofErr w:type="spellStart"/>
      <w:r w:rsidRPr="00544CFA">
        <w:rPr>
          <w:rFonts w:ascii="Arial" w:eastAsia="Times New Roman" w:hAnsi="Arial" w:cs="Arial"/>
          <w:color w:val="727272"/>
          <w:sz w:val="23"/>
          <w:szCs w:val="23"/>
          <w:bdr w:val="none" w:sz="0" w:space="0" w:color="auto" w:frame="1"/>
        </w:rPr>
        <w:t>Petrophysi</w:t>
      </w:r>
      <w:r>
        <w:rPr>
          <w:rFonts w:ascii="Arial" w:eastAsia="Times New Roman" w:hAnsi="Arial" w:cs="Arial"/>
          <w:color w:val="727272"/>
          <w:sz w:val="23"/>
          <w:szCs w:val="23"/>
          <w:bdr w:val="none" w:sz="0" w:space="0" w:color="auto" w:frame="1"/>
        </w:rPr>
        <w:t>ci</w:t>
      </w:r>
      <w:r w:rsidRPr="00544CFA">
        <w:rPr>
          <w:rFonts w:ascii="Arial" w:eastAsia="Times New Roman" w:hAnsi="Arial" w:cs="Arial"/>
          <w:color w:val="727272"/>
          <w:sz w:val="23"/>
          <w:szCs w:val="23"/>
          <w:bdr w:val="none" w:sz="0" w:space="0" w:color="auto" w:frame="1"/>
        </w:rPr>
        <w:t>ts</w:t>
      </w:r>
      <w:proofErr w:type="spellEnd"/>
      <w:r w:rsidRPr="00544CFA">
        <w:rPr>
          <w:rFonts w:ascii="Arial" w:eastAsia="Times New Roman" w:hAnsi="Arial" w:cs="Arial"/>
          <w:color w:val="727272"/>
          <w:sz w:val="23"/>
          <w:szCs w:val="23"/>
          <w:bdr w:val="none" w:sz="0" w:space="0" w:color="auto" w:frame="1"/>
        </w:rPr>
        <w:t xml:space="preserve"> and industry leading technologies help you collect, interpret, and apply formation evaluation data to locate the optimal formation target either for single well or multi well projects, which include:</w:t>
      </w:r>
    </w:p>
    <w:p w:rsidR="00544CFA" w:rsidRPr="00544CFA" w:rsidRDefault="00544CFA" w:rsidP="00544CFA">
      <w:pPr>
        <w:numPr>
          <w:ilvl w:val="0"/>
          <w:numId w:val="5"/>
        </w:numPr>
        <w:spacing w:after="0" w:line="240" w:lineRule="auto"/>
        <w:textAlignment w:val="baseline"/>
        <w:rPr>
          <w:rFonts w:ascii="Arial" w:eastAsia="Times New Roman" w:hAnsi="Arial" w:cs="Arial"/>
          <w:color w:val="727272"/>
          <w:sz w:val="23"/>
          <w:szCs w:val="23"/>
        </w:rPr>
      </w:pPr>
      <w:r w:rsidRPr="00544CFA">
        <w:rPr>
          <w:rFonts w:ascii="Arial" w:eastAsia="Times New Roman" w:hAnsi="Arial" w:cs="Arial"/>
          <w:color w:val="727272"/>
          <w:sz w:val="23"/>
          <w:szCs w:val="23"/>
          <w:bdr w:val="none" w:sz="0" w:space="0" w:color="auto" w:frame="1"/>
        </w:rPr>
        <w:t>Integration of open-hole logging data with conventional (CCA) and providing special core analysis (SCAL).</w:t>
      </w:r>
    </w:p>
    <w:p w:rsidR="00544CFA" w:rsidRPr="00544CFA" w:rsidRDefault="00544CFA" w:rsidP="00544CFA">
      <w:pPr>
        <w:numPr>
          <w:ilvl w:val="0"/>
          <w:numId w:val="5"/>
        </w:numPr>
        <w:spacing w:after="0" w:line="240" w:lineRule="auto"/>
        <w:textAlignment w:val="baseline"/>
        <w:rPr>
          <w:rFonts w:ascii="Arial" w:eastAsia="Times New Roman" w:hAnsi="Arial" w:cs="Arial"/>
          <w:color w:val="727272"/>
          <w:sz w:val="23"/>
          <w:szCs w:val="23"/>
        </w:rPr>
      </w:pPr>
      <w:r w:rsidRPr="00544CFA">
        <w:rPr>
          <w:rFonts w:ascii="Arial" w:eastAsia="Times New Roman" w:hAnsi="Arial" w:cs="Arial"/>
          <w:color w:val="727272"/>
          <w:sz w:val="23"/>
          <w:szCs w:val="23"/>
          <w:bdr w:val="none" w:sz="0" w:space="0" w:color="auto" w:frame="1"/>
        </w:rPr>
        <w:t xml:space="preserve">Deterministic and probabilistic </w:t>
      </w:r>
      <w:proofErr w:type="spellStart"/>
      <w:r w:rsidRPr="00544CFA">
        <w:rPr>
          <w:rFonts w:ascii="Arial" w:eastAsia="Times New Roman" w:hAnsi="Arial" w:cs="Arial"/>
          <w:color w:val="727272"/>
          <w:sz w:val="23"/>
          <w:szCs w:val="23"/>
          <w:bdr w:val="none" w:sz="0" w:space="0" w:color="auto" w:frame="1"/>
        </w:rPr>
        <w:t>petrophysical</w:t>
      </w:r>
      <w:proofErr w:type="spellEnd"/>
      <w:r w:rsidRPr="00544CFA">
        <w:rPr>
          <w:rFonts w:ascii="Arial" w:eastAsia="Times New Roman" w:hAnsi="Arial" w:cs="Arial"/>
          <w:color w:val="727272"/>
          <w:sz w:val="23"/>
          <w:szCs w:val="23"/>
          <w:bdr w:val="none" w:sz="0" w:space="0" w:color="auto" w:frame="1"/>
        </w:rPr>
        <w:t xml:space="preserve"> approaches.</w:t>
      </w:r>
    </w:p>
    <w:p w:rsidR="00544CFA" w:rsidRPr="00544CFA" w:rsidRDefault="00544CFA" w:rsidP="00544CFA">
      <w:pPr>
        <w:numPr>
          <w:ilvl w:val="0"/>
          <w:numId w:val="5"/>
        </w:numPr>
        <w:spacing w:after="0" w:line="240" w:lineRule="auto"/>
        <w:textAlignment w:val="baseline"/>
        <w:rPr>
          <w:rFonts w:ascii="Arial" w:eastAsia="Times New Roman" w:hAnsi="Arial" w:cs="Arial"/>
          <w:color w:val="727272"/>
          <w:sz w:val="23"/>
          <w:szCs w:val="23"/>
        </w:rPr>
      </w:pPr>
      <w:r w:rsidRPr="00544CFA">
        <w:rPr>
          <w:rFonts w:ascii="Arial" w:eastAsia="Times New Roman" w:hAnsi="Arial" w:cs="Arial"/>
          <w:color w:val="727272"/>
          <w:sz w:val="23"/>
          <w:szCs w:val="23"/>
          <w:bdr w:val="none" w:sz="0" w:space="0" w:color="auto" w:frame="1"/>
        </w:rPr>
        <w:t>Common, dominant reservoir models include mineral modeling, porosity modeling, water saturation modeling, TOC modeling, permeability modeling and rock type modeling.</w:t>
      </w:r>
    </w:p>
    <w:p w:rsidR="00A91B5F" w:rsidRPr="00544CFA" w:rsidRDefault="00544CFA" w:rsidP="00544CFA">
      <w:pPr>
        <w:numPr>
          <w:ilvl w:val="0"/>
          <w:numId w:val="5"/>
        </w:numPr>
        <w:spacing w:after="0" w:line="240" w:lineRule="auto"/>
        <w:textAlignment w:val="baseline"/>
        <w:rPr>
          <w:rFonts w:ascii="Arial" w:eastAsia="Times New Roman" w:hAnsi="Arial" w:cs="Arial"/>
          <w:color w:val="727272"/>
          <w:sz w:val="23"/>
          <w:szCs w:val="23"/>
        </w:rPr>
      </w:pPr>
      <w:r w:rsidRPr="00544CFA">
        <w:rPr>
          <w:rFonts w:ascii="Arial" w:eastAsia="Times New Roman" w:hAnsi="Arial" w:cs="Arial"/>
          <w:color w:val="727272"/>
          <w:sz w:val="23"/>
          <w:szCs w:val="23"/>
          <w:bdr w:val="none" w:sz="0" w:space="0" w:color="auto" w:frame="1"/>
        </w:rPr>
        <w:t xml:space="preserve">Identification of flow units and flow barriers / baffles, characterize </w:t>
      </w:r>
      <w:proofErr w:type="spellStart"/>
      <w:r w:rsidRPr="00544CFA">
        <w:rPr>
          <w:rFonts w:ascii="Arial" w:eastAsia="Times New Roman" w:hAnsi="Arial" w:cs="Arial"/>
          <w:color w:val="727272"/>
          <w:sz w:val="23"/>
          <w:szCs w:val="23"/>
          <w:bdr w:val="none" w:sz="0" w:space="0" w:color="auto" w:frame="1"/>
        </w:rPr>
        <w:t>petrophysical</w:t>
      </w:r>
      <w:proofErr w:type="spellEnd"/>
      <w:r w:rsidRPr="00544CFA">
        <w:rPr>
          <w:rFonts w:ascii="Arial" w:eastAsia="Times New Roman" w:hAnsi="Arial" w:cs="Arial"/>
          <w:color w:val="727272"/>
          <w:sz w:val="23"/>
          <w:szCs w:val="23"/>
          <w:bdr w:val="none" w:sz="0" w:space="0" w:color="auto" w:frame="1"/>
        </w:rPr>
        <w:t xml:space="preserve"> properties of each flow unit, fluid saturation height / fluid contacts and flow unit versus </w:t>
      </w:r>
      <w:proofErr w:type="spellStart"/>
      <w:r w:rsidRPr="00544CFA">
        <w:rPr>
          <w:rFonts w:ascii="Arial" w:eastAsia="Times New Roman" w:hAnsi="Arial" w:cs="Arial"/>
          <w:color w:val="727272"/>
          <w:sz w:val="23"/>
          <w:szCs w:val="23"/>
          <w:bdr w:val="none" w:sz="0" w:space="0" w:color="auto" w:frame="1"/>
        </w:rPr>
        <w:t>facies</w:t>
      </w:r>
      <w:proofErr w:type="spellEnd"/>
      <w:r w:rsidRPr="00544CFA">
        <w:rPr>
          <w:rFonts w:ascii="Arial" w:eastAsia="Times New Roman" w:hAnsi="Arial" w:cs="Arial"/>
          <w:color w:val="727272"/>
          <w:sz w:val="23"/>
          <w:szCs w:val="23"/>
          <w:bdr w:val="none" w:sz="0" w:space="0" w:color="auto" w:frame="1"/>
        </w:rPr>
        <w:t xml:space="preserve"> relationships.</w:t>
      </w:r>
    </w:p>
    <w:p w:rsidR="00544CFA" w:rsidRDefault="00544CFA" w:rsidP="00544CFA">
      <w:pPr>
        <w:pStyle w:val="Heading4"/>
        <w:numPr>
          <w:ilvl w:val="0"/>
          <w:numId w:val="3"/>
        </w:numPr>
        <w:shd w:val="clear" w:color="auto" w:fill="FFFFFF"/>
        <w:spacing w:before="255" w:after="405"/>
        <w:textAlignment w:val="baseline"/>
        <w:rPr>
          <w:rFonts w:ascii="Arial" w:hAnsi="Arial" w:cs="Arial"/>
          <w:b w:val="0"/>
          <w:bCs w:val="0"/>
          <w:color w:val="191919"/>
          <w:sz w:val="26"/>
          <w:szCs w:val="26"/>
        </w:rPr>
      </w:pPr>
      <w:r>
        <w:rPr>
          <w:rFonts w:ascii="Arial" w:hAnsi="Arial" w:cs="Arial"/>
          <w:b w:val="0"/>
          <w:bCs w:val="0"/>
          <w:color w:val="191919"/>
          <w:sz w:val="26"/>
          <w:szCs w:val="26"/>
        </w:rPr>
        <w:t>Borehole Imaging</w:t>
      </w:r>
    </w:p>
    <w:p w:rsidR="00544CFA" w:rsidRPr="00544CFA" w:rsidRDefault="00544CFA" w:rsidP="00544CFA">
      <w:pPr>
        <w:pStyle w:val="NormalWeb"/>
        <w:shd w:val="clear" w:color="auto" w:fill="FFFFFF"/>
        <w:spacing w:before="0" w:beforeAutospacing="0" w:after="0" w:afterAutospacing="0"/>
        <w:ind w:left="1255"/>
        <w:textAlignment w:val="baseline"/>
        <w:rPr>
          <w:rFonts w:ascii="Arial" w:hAnsi="Arial" w:cs="Arial"/>
          <w:color w:val="727272"/>
          <w:sz w:val="23"/>
          <w:szCs w:val="23"/>
        </w:rPr>
      </w:pPr>
      <w:r w:rsidRPr="00544CFA">
        <w:rPr>
          <w:rFonts w:ascii="Arial" w:hAnsi="Arial" w:cs="Arial"/>
          <w:color w:val="727272"/>
          <w:sz w:val="23"/>
          <w:szCs w:val="23"/>
        </w:rPr>
        <w:t>As the borehole image is one of the most important logging tools in terms of high resolution formation details and reservoir geological attributes.</w:t>
      </w:r>
    </w:p>
    <w:p w:rsidR="00544CFA" w:rsidRPr="00544CFA" w:rsidRDefault="00544CFA" w:rsidP="00544CFA">
      <w:pPr>
        <w:shd w:val="clear" w:color="auto" w:fill="FFFFFF"/>
        <w:spacing w:after="300" w:line="240" w:lineRule="auto"/>
        <w:ind w:left="1255"/>
        <w:textAlignment w:val="baseline"/>
        <w:rPr>
          <w:rFonts w:ascii="Arial" w:eastAsia="Times New Roman" w:hAnsi="Arial" w:cs="Arial"/>
          <w:color w:val="727272"/>
          <w:sz w:val="23"/>
          <w:szCs w:val="23"/>
        </w:rPr>
      </w:pPr>
      <w:proofErr w:type="spellStart"/>
      <w:r w:rsidRPr="00544CFA">
        <w:rPr>
          <w:rFonts w:ascii="Arial" w:eastAsia="Times New Roman" w:hAnsi="Arial" w:cs="Arial"/>
          <w:color w:val="727272"/>
          <w:sz w:val="23"/>
          <w:szCs w:val="23"/>
        </w:rPr>
        <w:t>Rockserv</w:t>
      </w:r>
      <w:proofErr w:type="spellEnd"/>
      <w:r w:rsidRPr="00544CFA">
        <w:rPr>
          <w:rFonts w:ascii="Arial" w:eastAsia="Times New Roman" w:hAnsi="Arial" w:cs="Arial"/>
          <w:color w:val="727272"/>
          <w:sz w:val="23"/>
          <w:szCs w:val="23"/>
        </w:rPr>
        <w:t xml:space="preserve"> is now introducing a full suite of Borehole Image Services that includes:</w:t>
      </w:r>
    </w:p>
    <w:p w:rsidR="00544CFA" w:rsidRPr="00544CFA" w:rsidRDefault="00544CFA" w:rsidP="00544CFA">
      <w:pPr>
        <w:shd w:val="clear" w:color="auto" w:fill="FFFFFF"/>
        <w:spacing w:after="300" w:line="240" w:lineRule="auto"/>
        <w:ind w:left="1255"/>
        <w:textAlignment w:val="baseline"/>
        <w:rPr>
          <w:rFonts w:ascii="Arial" w:eastAsia="Times New Roman" w:hAnsi="Arial" w:cs="Arial"/>
          <w:color w:val="727272"/>
          <w:sz w:val="23"/>
          <w:szCs w:val="23"/>
        </w:rPr>
      </w:pPr>
      <w:r w:rsidRPr="00544CFA">
        <w:rPr>
          <w:rFonts w:ascii="Arial" w:eastAsia="Times New Roman" w:hAnsi="Arial" w:cs="Arial"/>
          <w:color w:val="727272"/>
          <w:sz w:val="23"/>
          <w:szCs w:val="23"/>
        </w:rPr>
        <w:t>– Data Orientation QC</w:t>
      </w:r>
      <w:r w:rsidRPr="00544CFA">
        <w:rPr>
          <w:rFonts w:ascii="Arial" w:eastAsia="Times New Roman" w:hAnsi="Arial" w:cs="Arial"/>
          <w:color w:val="727272"/>
          <w:sz w:val="23"/>
          <w:szCs w:val="23"/>
        </w:rPr>
        <w:br/>
        <w:t>– Data Processing</w:t>
      </w:r>
      <w:r w:rsidRPr="00544CFA">
        <w:rPr>
          <w:rFonts w:ascii="Arial" w:eastAsia="Times New Roman" w:hAnsi="Arial" w:cs="Arial"/>
          <w:color w:val="727272"/>
          <w:sz w:val="23"/>
          <w:szCs w:val="23"/>
        </w:rPr>
        <w:br/>
        <w:t>– Interactive Dip Picking</w:t>
      </w:r>
      <w:r w:rsidRPr="00544CFA">
        <w:rPr>
          <w:rFonts w:ascii="Arial" w:eastAsia="Times New Roman" w:hAnsi="Arial" w:cs="Arial"/>
          <w:color w:val="727272"/>
          <w:sz w:val="23"/>
          <w:szCs w:val="23"/>
        </w:rPr>
        <w:br/>
        <w:t xml:space="preserve">– </w:t>
      </w:r>
      <w:proofErr w:type="spellStart"/>
      <w:r w:rsidRPr="00544CFA">
        <w:rPr>
          <w:rFonts w:ascii="Arial" w:eastAsia="Times New Roman" w:hAnsi="Arial" w:cs="Arial"/>
          <w:color w:val="727272"/>
          <w:sz w:val="23"/>
          <w:szCs w:val="23"/>
        </w:rPr>
        <w:t>Paleocurrent</w:t>
      </w:r>
      <w:proofErr w:type="spellEnd"/>
      <w:r w:rsidRPr="00544CFA">
        <w:rPr>
          <w:rFonts w:ascii="Arial" w:eastAsia="Times New Roman" w:hAnsi="Arial" w:cs="Arial"/>
          <w:color w:val="727272"/>
          <w:sz w:val="23"/>
          <w:szCs w:val="23"/>
        </w:rPr>
        <w:t xml:space="preserve"> Analysis</w:t>
      </w:r>
      <w:r w:rsidRPr="00544CFA">
        <w:rPr>
          <w:rFonts w:ascii="Arial" w:eastAsia="Times New Roman" w:hAnsi="Arial" w:cs="Arial"/>
          <w:color w:val="727272"/>
          <w:sz w:val="23"/>
          <w:szCs w:val="23"/>
        </w:rPr>
        <w:br/>
      </w:r>
      <w:r w:rsidRPr="00544CFA">
        <w:rPr>
          <w:rFonts w:ascii="Arial" w:eastAsia="Times New Roman" w:hAnsi="Arial" w:cs="Arial"/>
          <w:color w:val="727272"/>
          <w:sz w:val="23"/>
          <w:szCs w:val="23"/>
        </w:rPr>
        <w:lastRenderedPageBreak/>
        <w:t>– Fracture characterization</w:t>
      </w:r>
      <w:r w:rsidRPr="00544CFA">
        <w:rPr>
          <w:rFonts w:ascii="Arial" w:eastAsia="Times New Roman" w:hAnsi="Arial" w:cs="Arial"/>
          <w:color w:val="727272"/>
          <w:sz w:val="23"/>
          <w:szCs w:val="23"/>
        </w:rPr>
        <w:br/>
        <w:t xml:space="preserve">– </w:t>
      </w:r>
      <w:proofErr w:type="spellStart"/>
      <w:r w:rsidRPr="00544CFA">
        <w:rPr>
          <w:rFonts w:ascii="Arial" w:eastAsia="Times New Roman" w:hAnsi="Arial" w:cs="Arial"/>
          <w:color w:val="727272"/>
          <w:sz w:val="23"/>
          <w:szCs w:val="23"/>
        </w:rPr>
        <w:t>InSitu</w:t>
      </w:r>
      <w:proofErr w:type="spellEnd"/>
      <w:r w:rsidRPr="00544CFA">
        <w:rPr>
          <w:rFonts w:ascii="Arial" w:eastAsia="Times New Roman" w:hAnsi="Arial" w:cs="Arial"/>
          <w:color w:val="727272"/>
          <w:sz w:val="23"/>
          <w:szCs w:val="23"/>
        </w:rPr>
        <w:t xml:space="preserve"> Stresses Analysis</w:t>
      </w:r>
      <w:r w:rsidRPr="00544CFA">
        <w:rPr>
          <w:rFonts w:ascii="Arial" w:eastAsia="Times New Roman" w:hAnsi="Arial" w:cs="Arial"/>
          <w:color w:val="727272"/>
          <w:sz w:val="23"/>
          <w:szCs w:val="23"/>
        </w:rPr>
        <w:br/>
        <w:t xml:space="preserve">– </w:t>
      </w:r>
      <w:proofErr w:type="spellStart"/>
      <w:r w:rsidRPr="00544CFA">
        <w:rPr>
          <w:rFonts w:ascii="Arial" w:eastAsia="Times New Roman" w:hAnsi="Arial" w:cs="Arial"/>
          <w:color w:val="727272"/>
          <w:sz w:val="23"/>
          <w:szCs w:val="23"/>
        </w:rPr>
        <w:t>ElectroFacies</w:t>
      </w:r>
      <w:proofErr w:type="spellEnd"/>
      <w:r w:rsidRPr="00544CFA">
        <w:rPr>
          <w:rFonts w:ascii="Arial" w:eastAsia="Times New Roman" w:hAnsi="Arial" w:cs="Arial"/>
          <w:color w:val="727272"/>
          <w:sz w:val="23"/>
          <w:szCs w:val="23"/>
        </w:rPr>
        <w:t xml:space="preserve"> Analysis</w:t>
      </w:r>
      <w:r w:rsidRPr="00544CFA">
        <w:rPr>
          <w:rFonts w:ascii="Arial" w:eastAsia="Times New Roman" w:hAnsi="Arial" w:cs="Arial"/>
          <w:color w:val="727272"/>
          <w:sz w:val="23"/>
          <w:szCs w:val="23"/>
        </w:rPr>
        <w:br/>
        <w:t xml:space="preserve">– Sand Count , </w:t>
      </w:r>
      <w:proofErr w:type="spellStart"/>
      <w:r w:rsidRPr="00544CFA">
        <w:rPr>
          <w:rFonts w:ascii="Arial" w:eastAsia="Times New Roman" w:hAnsi="Arial" w:cs="Arial"/>
          <w:color w:val="727272"/>
          <w:sz w:val="23"/>
          <w:szCs w:val="23"/>
        </w:rPr>
        <w:t>ThinBed</w:t>
      </w:r>
      <w:proofErr w:type="spellEnd"/>
      <w:r w:rsidRPr="00544CFA">
        <w:rPr>
          <w:rFonts w:ascii="Arial" w:eastAsia="Times New Roman" w:hAnsi="Arial" w:cs="Arial"/>
          <w:color w:val="727272"/>
          <w:sz w:val="23"/>
          <w:szCs w:val="23"/>
        </w:rPr>
        <w:t xml:space="preserve"> Analysis</w:t>
      </w:r>
      <w:r w:rsidRPr="00544CFA">
        <w:rPr>
          <w:rFonts w:ascii="Arial" w:eastAsia="Times New Roman" w:hAnsi="Arial" w:cs="Arial"/>
          <w:color w:val="727272"/>
          <w:sz w:val="23"/>
          <w:szCs w:val="23"/>
        </w:rPr>
        <w:br/>
        <w:t>– Structural and Stratigraphic Analysis</w:t>
      </w:r>
      <w:r w:rsidRPr="00544CFA">
        <w:rPr>
          <w:rFonts w:ascii="Arial" w:eastAsia="Times New Roman" w:hAnsi="Arial" w:cs="Arial"/>
          <w:color w:val="727272"/>
          <w:sz w:val="23"/>
          <w:szCs w:val="23"/>
        </w:rPr>
        <w:br/>
        <w:t>– Depositional Environment Interpretation</w:t>
      </w:r>
    </w:p>
    <w:p w:rsidR="00544CFA" w:rsidRDefault="00544CFA" w:rsidP="00582CC4">
      <w:pPr>
        <w:pStyle w:val="Heading4"/>
        <w:numPr>
          <w:ilvl w:val="0"/>
          <w:numId w:val="3"/>
        </w:numPr>
        <w:shd w:val="clear" w:color="auto" w:fill="FFFFFF"/>
        <w:spacing w:before="255" w:after="405"/>
        <w:textAlignment w:val="baseline"/>
        <w:rPr>
          <w:rFonts w:ascii="Arial" w:hAnsi="Arial" w:cs="Arial"/>
          <w:b w:val="0"/>
          <w:bCs w:val="0"/>
          <w:color w:val="191919"/>
          <w:sz w:val="26"/>
          <w:szCs w:val="26"/>
        </w:rPr>
      </w:pPr>
      <w:r>
        <w:rPr>
          <w:rFonts w:ascii="Arial" w:hAnsi="Arial" w:cs="Arial"/>
          <w:b w:val="0"/>
          <w:bCs w:val="0"/>
          <w:color w:val="191919"/>
          <w:sz w:val="26"/>
          <w:szCs w:val="26"/>
        </w:rPr>
        <w:t>Log Interpretation</w:t>
      </w:r>
    </w:p>
    <w:p w:rsidR="00544CFA" w:rsidRDefault="00544CFA" w:rsidP="00544CFA">
      <w:pPr>
        <w:ind w:left="1255"/>
        <w:rPr>
          <w:rFonts w:ascii="Arial" w:hAnsi="Arial" w:cs="Arial"/>
          <w:color w:val="727272"/>
          <w:sz w:val="23"/>
          <w:szCs w:val="23"/>
          <w:shd w:val="clear" w:color="auto" w:fill="FFFFFF"/>
        </w:rPr>
      </w:pPr>
      <w:r>
        <w:rPr>
          <w:rFonts w:ascii="Arial" w:hAnsi="Arial" w:cs="Arial"/>
          <w:color w:val="727272"/>
          <w:sz w:val="23"/>
          <w:szCs w:val="23"/>
          <w:shd w:val="clear" w:color="auto" w:fill="FFFFFF"/>
        </w:rPr>
        <w:t>Well logs interpretation services provide an insight into the formations and conditions in the subsurface, aimed primarily at detection and evaluation of possibly productive horizons. Like</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Determination of saturation</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Clean formations evaluation</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 xml:space="preserve">Resistivity vs. porosity </w:t>
      </w:r>
      <w:proofErr w:type="spellStart"/>
      <w:r>
        <w:rPr>
          <w:rFonts w:ascii="Arial" w:hAnsi="Arial" w:cs="Arial"/>
          <w:color w:val="727272"/>
          <w:sz w:val="23"/>
          <w:szCs w:val="23"/>
          <w:shd w:val="clear" w:color="auto" w:fill="FFFFFF"/>
        </w:rPr>
        <w:t>crossplots</w:t>
      </w:r>
      <w:proofErr w:type="spellEnd"/>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proofErr w:type="spellStart"/>
      <w:r>
        <w:rPr>
          <w:rFonts w:ascii="Arial" w:hAnsi="Arial" w:cs="Arial"/>
          <w:color w:val="727272"/>
          <w:sz w:val="23"/>
          <w:szCs w:val="23"/>
          <w:shd w:val="clear" w:color="auto" w:fill="FFFFFF"/>
        </w:rPr>
        <w:t>Microresistivity</w:t>
      </w:r>
      <w:proofErr w:type="spellEnd"/>
      <w:r>
        <w:rPr>
          <w:rFonts w:ascii="Arial" w:hAnsi="Arial" w:cs="Arial"/>
          <w:color w:val="727272"/>
          <w:sz w:val="23"/>
          <w:szCs w:val="23"/>
          <w:shd w:val="clear" w:color="auto" w:fill="FFFFFF"/>
        </w:rPr>
        <w:t xml:space="preserve"> vs. porosity </w:t>
      </w:r>
      <w:proofErr w:type="spellStart"/>
      <w:r>
        <w:rPr>
          <w:rFonts w:ascii="Arial" w:hAnsi="Arial" w:cs="Arial"/>
          <w:color w:val="727272"/>
          <w:sz w:val="23"/>
          <w:szCs w:val="23"/>
          <w:shd w:val="clear" w:color="auto" w:fill="FFFFFF"/>
        </w:rPr>
        <w:t>crossplots</w:t>
      </w:r>
      <w:proofErr w:type="spellEnd"/>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proofErr w:type="spellStart"/>
      <w:r>
        <w:rPr>
          <w:rFonts w:ascii="Arial" w:hAnsi="Arial" w:cs="Arial"/>
          <w:color w:val="727272"/>
          <w:sz w:val="23"/>
          <w:szCs w:val="23"/>
          <w:shd w:val="clear" w:color="auto" w:fill="FFFFFF"/>
        </w:rPr>
        <w:t>Rwa</w:t>
      </w:r>
      <w:proofErr w:type="spellEnd"/>
      <w:r>
        <w:rPr>
          <w:rFonts w:ascii="Arial" w:hAnsi="Arial" w:cs="Arial"/>
          <w:color w:val="727272"/>
          <w:sz w:val="23"/>
          <w:szCs w:val="23"/>
          <w:shd w:val="clear" w:color="auto" w:fill="FFFFFF"/>
        </w:rPr>
        <w:t xml:space="preserve"> comparison</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Resistivity-ratio methods</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Flushed-zone method</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Invaded-zone method</w:t>
      </w:r>
      <w:r>
        <w:rPr>
          <w:rFonts w:ascii="Arial" w:hAnsi="Arial" w:cs="Arial"/>
          <w:color w:val="727272"/>
          <w:sz w:val="23"/>
          <w:szCs w:val="23"/>
        </w:rPr>
        <w:br/>
      </w:r>
      <w:r w:rsidR="00582CC4" w:rsidRPr="00544CFA">
        <w:rPr>
          <w:rFonts w:ascii="Arial" w:eastAsia="Times New Roman" w:hAnsi="Arial" w:cs="Arial"/>
          <w:color w:val="727272"/>
          <w:sz w:val="23"/>
          <w:szCs w:val="23"/>
        </w:rPr>
        <w:t xml:space="preserve">– </w:t>
      </w:r>
      <w:r>
        <w:rPr>
          <w:rFonts w:ascii="Arial" w:hAnsi="Arial" w:cs="Arial"/>
          <w:color w:val="727272"/>
          <w:sz w:val="23"/>
          <w:szCs w:val="23"/>
          <w:shd w:val="clear" w:color="auto" w:fill="FFFFFF"/>
        </w:rPr>
        <w:t>Quick look interpretation</w:t>
      </w:r>
    </w:p>
    <w:p w:rsidR="00544CFA" w:rsidRDefault="00544CFA" w:rsidP="00582CC4">
      <w:pPr>
        <w:pStyle w:val="Heading4"/>
        <w:numPr>
          <w:ilvl w:val="0"/>
          <w:numId w:val="3"/>
        </w:numPr>
        <w:shd w:val="clear" w:color="auto" w:fill="FFFFFF"/>
        <w:spacing w:before="255" w:after="405"/>
        <w:textAlignment w:val="baseline"/>
        <w:rPr>
          <w:rFonts w:ascii="Arial" w:hAnsi="Arial" w:cs="Arial"/>
          <w:b w:val="0"/>
          <w:bCs w:val="0"/>
          <w:color w:val="191919"/>
          <w:sz w:val="26"/>
          <w:szCs w:val="26"/>
        </w:rPr>
      </w:pPr>
      <w:r>
        <w:rPr>
          <w:rFonts w:ascii="Arial" w:hAnsi="Arial" w:cs="Arial"/>
          <w:b w:val="0"/>
          <w:bCs w:val="0"/>
          <w:color w:val="191919"/>
          <w:sz w:val="26"/>
          <w:szCs w:val="26"/>
        </w:rPr>
        <w:t>Reservoir Characterization</w:t>
      </w:r>
    </w:p>
    <w:p w:rsidR="00544CFA" w:rsidRDefault="00544CFA" w:rsidP="00544CFA">
      <w:pPr>
        <w:ind w:left="1255"/>
        <w:rPr>
          <w:rFonts w:ascii="Arial" w:hAnsi="Arial" w:cs="Arial"/>
          <w:color w:val="727272"/>
          <w:sz w:val="23"/>
          <w:szCs w:val="23"/>
          <w:shd w:val="clear" w:color="auto" w:fill="FFFFFF"/>
        </w:rPr>
      </w:pPr>
      <w:r>
        <w:rPr>
          <w:rFonts w:ascii="Arial" w:hAnsi="Arial" w:cs="Arial"/>
          <w:color w:val="727272"/>
          <w:sz w:val="23"/>
          <w:szCs w:val="23"/>
          <w:shd w:val="clear" w:color="auto" w:fill="FFFFFF"/>
        </w:rPr>
        <w:t>Reservoir characterization is the process of preparing a quantitative representation of a reservoir using data from a variety of sources and disciplines.</w:t>
      </w:r>
    </w:p>
    <w:p w:rsidR="00544CFA" w:rsidRDefault="00544CFA" w:rsidP="00544CFA">
      <w:pPr>
        <w:pStyle w:val="Heading4"/>
        <w:numPr>
          <w:ilvl w:val="0"/>
          <w:numId w:val="3"/>
        </w:numPr>
        <w:shd w:val="clear" w:color="auto" w:fill="FFFFFF"/>
        <w:spacing w:before="255" w:after="405"/>
        <w:textAlignment w:val="baseline"/>
        <w:rPr>
          <w:rFonts w:ascii="Arial" w:hAnsi="Arial" w:cs="Arial"/>
          <w:b w:val="0"/>
          <w:bCs w:val="0"/>
          <w:color w:val="191919"/>
          <w:sz w:val="26"/>
          <w:szCs w:val="26"/>
        </w:rPr>
      </w:pPr>
      <w:proofErr w:type="spellStart"/>
      <w:r>
        <w:rPr>
          <w:rFonts w:ascii="Arial" w:hAnsi="Arial" w:cs="Arial"/>
          <w:b w:val="0"/>
          <w:bCs w:val="0"/>
          <w:color w:val="191919"/>
          <w:sz w:val="26"/>
          <w:szCs w:val="26"/>
        </w:rPr>
        <w:t>Petrophysical</w:t>
      </w:r>
      <w:proofErr w:type="spellEnd"/>
      <w:r>
        <w:rPr>
          <w:rFonts w:ascii="Arial" w:hAnsi="Arial" w:cs="Arial"/>
          <w:b w:val="0"/>
          <w:bCs w:val="0"/>
          <w:color w:val="191919"/>
          <w:sz w:val="26"/>
          <w:szCs w:val="26"/>
        </w:rPr>
        <w:t xml:space="preserve"> Evaluation</w:t>
      </w:r>
    </w:p>
    <w:p w:rsidR="00544CFA" w:rsidRDefault="00544CFA" w:rsidP="00544CFA">
      <w:pPr>
        <w:spacing w:after="0"/>
        <w:ind w:left="1255"/>
        <w:rPr>
          <w:rFonts w:ascii="Arial" w:hAnsi="Arial" w:cs="Arial"/>
          <w:color w:val="727272"/>
          <w:sz w:val="23"/>
          <w:szCs w:val="23"/>
          <w:shd w:val="clear" w:color="auto" w:fill="FFFFFF"/>
        </w:rPr>
      </w:pPr>
      <w:proofErr w:type="spellStart"/>
      <w:r>
        <w:rPr>
          <w:rFonts w:ascii="Arial" w:hAnsi="Arial" w:cs="Arial"/>
          <w:color w:val="727272"/>
          <w:sz w:val="23"/>
          <w:szCs w:val="23"/>
          <w:shd w:val="clear" w:color="auto" w:fill="FFFFFF"/>
        </w:rPr>
        <w:t>Petrophysical</w:t>
      </w:r>
      <w:proofErr w:type="spellEnd"/>
      <w:r>
        <w:rPr>
          <w:rFonts w:ascii="Arial" w:hAnsi="Arial" w:cs="Arial"/>
          <w:color w:val="727272"/>
          <w:sz w:val="23"/>
          <w:szCs w:val="23"/>
          <w:shd w:val="clear" w:color="auto" w:fill="FFFFFF"/>
        </w:rPr>
        <w:t xml:space="preserve"> evaluation was carried out using empirical correlations to estimate the </w:t>
      </w:r>
      <w:proofErr w:type="spellStart"/>
      <w:r>
        <w:rPr>
          <w:rFonts w:ascii="Arial" w:hAnsi="Arial" w:cs="Arial"/>
          <w:color w:val="727272"/>
          <w:sz w:val="23"/>
          <w:szCs w:val="23"/>
          <w:shd w:val="clear" w:color="auto" w:fill="FFFFFF"/>
        </w:rPr>
        <w:t>petrophysical</w:t>
      </w:r>
      <w:proofErr w:type="spellEnd"/>
      <w:r>
        <w:rPr>
          <w:rFonts w:ascii="Arial" w:hAnsi="Arial" w:cs="Arial"/>
          <w:color w:val="727272"/>
          <w:sz w:val="23"/>
          <w:szCs w:val="23"/>
          <w:shd w:val="clear" w:color="auto" w:fill="FFFFFF"/>
        </w:rPr>
        <w:t xml:space="preserve"> parameters of the reservoirs. Correlations established between desired rock properties and measured physical properties were used to derive rock properties such as porosity, water saturation, permeability, Net to gross etc. These properties were populated on the structural models to show heterogeneity within the reservoirs.</w:t>
      </w:r>
    </w:p>
    <w:p w:rsidR="00544CFA" w:rsidRDefault="00544CFA" w:rsidP="00544CFA">
      <w:pPr>
        <w:pStyle w:val="Heading4"/>
        <w:numPr>
          <w:ilvl w:val="0"/>
          <w:numId w:val="3"/>
        </w:numPr>
        <w:shd w:val="clear" w:color="auto" w:fill="FFFFFF"/>
        <w:spacing w:before="255" w:after="405" w:line="240" w:lineRule="auto"/>
        <w:textAlignment w:val="baseline"/>
        <w:rPr>
          <w:rFonts w:ascii="Arial" w:hAnsi="Arial" w:cs="Arial"/>
          <w:b w:val="0"/>
          <w:bCs w:val="0"/>
          <w:color w:val="191919"/>
          <w:sz w:val="26"/>
          <w:szCs w:val="26"/>
        </w:rPr>
      </w:pPr>
      <w:r>
        <w:rPr>
          <w:rFonts w:ascii="Arial" w:hAnsi="Arial" w:cs="Arial"/>
          <w:b w:val="0"/>
          <w:bCs w:val="0"/>
          <w:color w:val="191919"/>
          <w:sz w:val="26"/>
          <w:szCs w:val="26"/>
        </w:rPr>
        <w:lastRenderedPageBreak/>
        <w:t>SCAL</w:t>
      </w:r>
    </w:p>
    <w:p w:rsidR="00582CC4" w:rsidRPr="00582CC4" w:rsidRDefault="00544CFA" w:rsidP="00582CC4">
      <w:pPr>
        <w:pStyle w:val="Heading4"/>
        <w:numPr>
          <w:ilvl w:val="0"/>
          <w:numId w:val="3"/>
        </w:numPr>
        <w:shd w:val="clear" w:color="auto" w:fill="FFFFFF"/>
        <w:spacing w:before="255" w:line="240" w:lineRule="auto"/>
        <w:textAlignment w:val="baseline"/>
        <w:rPr>
          <w:rFonts w:ascii="Arial" w:hAnsi="Arial" w:cs="Arial"/>
          <w:b w:val="0"/>
          <w:bCs w:val="0"/>
          <w:color w:val="191919"/>
          <w:sz w:val="26"/>
          <w:szCs w:val="26"/>
        </w:rPr>
      </w:pPr>
      <w:r>
        <w:rPr>
          <w:rFonts w:ascii="Arial" w:hAnsi="Arial" w:cs="Arial"/>
          <w:b w:val="0"/>
          <w:bCs w:val="0"/>
          <w:color w:val="191919"/>
          <w:sz w:val="26"/>
          <w:szCs w:val="26"/>
        </w:rPr>
        <w:t xml:space="preserve">Core log </w:t>
      </w:r>
      <w:r w:rsidR="00582CC4">
        <w:rPr>
          <w:rFonts w:ascii="Arial" w:hAnsi="Arial" w:cs="Arial"/>
          <w:b w:val="0"/>
          <w:bCs w:val="0"/>
          <w:color w:val="191919"/>
          <w:sz w:val="26"/>
          <w:szCs w:val="26"/>
        </w:rPr>
        <w:t>Integration</w:t>
      </w:r>
    </w:p>
    <w:p w:rsidR="00544CFA" w:rsidRDefault="00544CFA" w:rsidP="00544CFA">
      <w:pPr>
        <w:spacing w:after="0"/>
        <w:ind w:left="1255"/>
        <w:rPr>
          <w:rFonts w:ascii="Arial" w:hAnsi="Arial" w:cs="Arial"/>
          <w:color w:val="727272"/>
          <w:sz w:val="23"/>
          <w:szCs w:val="23"/>
          <w:shd w:val="clear" w:color="auto" w:fill="FFFFFF"/>
        </w:rPr>
      </w:pPr>
      <w:r>
        <w:rPr>
          <w:rFonts w:ascii="Arial" w:hAnsi="Arial" w:cs="Arial"/>
          <w:color w:val="727272"/>
          <w:sz w:val="23"/>
          <w:szCs w:val="23"/>
          <w:shd w:val="clear" w:color="auto" w:fill="FFFFFF"/>
        </w:rPr>
        <w:t xml:space="preserve">The primary purpose of core to log data integration is to reduce the uncertainty associated with formation evaluation. In so doing, advantage is taken of both the higher precision of core data and the larger scale of investigation of log data. It is particularly important that when tying logs back to core, the calibration algorithm is as well defined as possible. A basic requirement is the </w:t>
      </w:r>
      <w:proofErr w:type="spellStart"/>
      <w:r>
        <w:rPr>
          <w:rFonts w:ascii="Arial" w:hAnsi="Arial" w:cs="Arial"/>
          <w:color w:val="727272"/>
          <w:sz w:val="23"/>
          <w:szCs w:val="23"/>
          <w:shd w:val="clear" w:color="auto" w:fill="FFFFFF"/>
        </w:rPr>
        <w:t>definiton</w:t>
      </w:r>
      <w:proofErr w:type="spellEnd"/>
      <w:r>
        <w:rPr>
          <w:rFonts w:ascii="Arial" w:hAnsi="Arial" w:cs="Arial"/>
          <w:color w:val="727272"/>
          <w:sz w:val="23"/>
          <w:szCs w:val="23"/>
          <w:shd w:val="clear" w:color="auto" w:fill="FFFFFF"/>
        </w:rPr>
        <w:t xml:space="preserve"> of a common reference depth scale. A second requirement is to reconcile the different vertical resolutions by the depth averaging of core data, the signal enhancement of log data, or both. Essential to this process is the adoption of ‘key intervals’ as control zones for data integration. These procedures can result in a reduced uncertainty, which transmits through to reservoir appraisal through a better </w:t>
      </w:r>
      <w:proofErr w:type="spellStart"/>
      <w:r>
        <w:rPr>
          <w:rFonts w:ascii="Arial" w:hAnsi="Arial" w:cs="Arial"/>
          <w:color w:val="727272"/>
          <w:sz w:val="23"/>
          <w:szCs w:val="23"/>
          <w:shd w:val="clear" w:color="auto" w:fill="FFFFFF"/>
        </w:rPr>
        <w:t>petrophysical</w:t>
      </w:r>
      <w:proofErr w:type="spellEnd"/>
      <w:r>
        <w:rPr>
          <w:rFonts w:ascii="Arial" w:hAnsi="Arial" w:cs="Arial"/>
          <w:color w:val="727272"/>
          <w:sz w:val="23"/>
          <w:szCs w:val="23"/>
          <w:shd w:val="clear" w:color="auto" w:fill="FFFFFF"/>
        </w:rPr>
        <w:t xml:space="preserve"> </w:t>
      </w:r>
      <w:r w:rsidR="00582CC4">
        <w:rPr>
          <w:rFonts w:ascii="Arial" w:hAnsi="Arial" w:cs="Arial"/>
          <w:color w:val="727272"/>
          <w:sz w:val="23"/>
          <w:szCs w:val="23"/>
          <w:shd w:val="clear" w:color="auto" w:fill="FFFFFF"/>
        </w:rPr>
        <w:t>definition</w:t>
      </w:r>
      <w:r>
        <w:rPr>
          <w:rFonts w:ascii="Arial" w:hAnsi="Arial" w:cs="Arial"/>
          <w:color w:val="727272"/>
          <w:sz w:val="23"/>
          <w:szCs w:val="23"/>
          <w:shd w:val="clear" w:color="auto" w:fill="FFFFFF"/>
        </w:rPr>
        <w:t xml:space="preserve"> of constituent lithological units.</w:t>
      </w:r>
    </w:p>
    <w:p w:rsidR="00544CFA" w:rsidRDefault="00544CFA" w:rsidP="00544CFA">
      <w:pPr>
        <w:pStyle w:val="Heading4"/>
        <w:numPr>
          <w:ilvl w:val="0"/>
          <w:numId w:val="4"/>
        </w:numPr>
        <w:shd w:val="clear" w:color="auto" w:fill="FFFFFF"/>
        <w:spacing w:before="255" w:after="405"/>
        <w:textAlignment w:val="baseline"/>
        <w:rPr>
          <w:rFonts w:ascii="Arial" w:hAnsi="Arial" w:cs="Arial"/>
          <w:b w:val="0"/>
          <w:bCs w:val="0"/>
          <w:color w:val="191919"/>
          <w:sz w:val="26"/>
          <w:szCs w:val="26"/>
        </w:rPr>
      </w:pPr>
      <w:r>
        <w:rPr>
          <w:rFonts w:ascii="Arial" w:hAnsi="Arial" w:cs="Arial"/>
          <w:b w:val="0"/>
          <w:bCs w:val="0"/>
          <w:color w:val="191919"/>
          <w:sz w:val="26"/>
          <w:szCs w:val="26"/>
        </w:rPr>
        <w:t>Core Analysis</w:t>
      </w:r>
    </w:p>
    <w:p w:rsidR="00544CFA" w:rsidRDefault="00544CFA" w:rsidP="00544CFA">
      <w:pPr>
        <w:ind w:left="1080"/>
        <w:rPr>
          <w:rFonts w:ascii="Arial" w:hAnsi="Arial" w:cs="Arial"/>
          <w:color w:val="727272"/>
          <w:sz w:val="23"/>
          <w:szCs w:val="23"/>
          <w:shd w:val="clear" w:color="auto" w:fill="FFFFFF"/>
        </w:rPr>
      </w:pPr>
      <w:r>
        <w:rPr>
          <w:rFonts w:ascii="Arial" w:hAnsi="Arial" w:cs="Arial"/>
          <w:color w:val="727272"/>
          <w:sz w:val="23"/>
          <w:szCs w:val="23"/>
          <w:shd w:val="clear" w:color="auto" w:fill="FFFFFF"/>
        </w:rPr>
        <w:t xml:space="preserve">Routine and special core analyses are among our main services, incorporating options such as invasion studies, computed tomography scanning, capillary pressure, wettability, improved oil recovery solutions and reservoir condition measurements. Geological studies we offer can encompass aspects such as </w:t>
      </w:r>
      <w:proofErr w:type="spellStart"/>
      <w:r>
        <w:rPr>
          <w:rFonts w:ascii="Arial" w:hAnsi="Arial" w:cs="Arial"/>
          <w:color w:val="727272"/>
          <w:sz w:val="23"/>
          <w:szCs w:val="23"/>
          <w:shd w:val="clear" w:color="auto" w:fill="FFFFFF"/>
        </w:rPr>
        <w:t>Sedimentological</w:t>
      </w:r>
      <w:proofErr w:type="spellEnd"/>
      <w:r>
        <w:rPr>
          <w:rFonts w:ascii="Arial" w:hAnsi="Arial" w:cs="Arial"/>
          <w:color w:val="727272"/>
          <w:sz w:val="23"/>
          <w:szCs w:val="23"/>
          <w:shd w:val="clear" w:color="auto" w:fill="FFFFFF"/>
        </w:rPr>
        <w:t xml:space="preserve"> and </w:t>
      </w:r>
      <w:proofErr w:type="spellStart"/>
      <w:r>
        <w:rPr>
          <w:rFonts w:ascii="Arial" w:hAnsi="Arial" w:cs="Arial"/>
          <w:color w:val="727272"/>
          <w:sz w:val="23"/>
          <w:szCs w:val="23"/>
          <w:shd w:val="clear" w:color="auto" w:fill="FFFFFF"/>
        </w:rPr>
        <w:t>petrological</w:t>
      </w:r>
      <w:proofErr w:type="spellEnd"/>
      <w:r>
        <w:rPr>
          <w:rFonts w:ascii="Arial" w:hAnsi="Arial" w:cs="Arial"/>
          <w:color w:val="727272"/>
          <w:sz w:val="23"/>
          <w:szCs w:val="23"/>
          <w:shd w:val="clear" w:color="auto" w:fill="FFFFFF"/>
        </w:rPr>
        <w:t xml:space="preserve"> studies to provide</w:t>
      </w:r>
      <w:proofErr w:type="gramStart"/>
      <w:r>
        <w:rPr>
          <w:rFonts w:ascii="Arial" w:hAnsi="Arial" w:cs="Arial"/>
          <w:color w:val="727272"/>
          <w:sz w:val="23"/>
          <w:szCs w:val="23"/>
          <w:shd w:val="clear" w:color="auto" w:fill="FFFFFF"/>
        </w:rPr>
        <w:t>:</w:t>
      </w:r>
      <w:proofErr w:type="gramEnd"/>
      <w:r>
        <w:rPr>
          <w:rFonts w:ascii="Arial" w:hAnsi="Arial" w:cs="Arial"/>
          <w:color w:val="727272"/>
          <w:sz w:val="23"/>
          <w:szCs w:val="23"/>
        </w:rPr>
        <w:br/>
      </w:r>
      <w:r>
        <w:rPr>
          <w:rFonts w:ascii="Arial" w:hAnsi="Arial" w:cs="Arial"/>
          <w:color w:val="727272"/>
          <w:sz w:val="23"/>
          <w:szCs w:val="23"/>
          <w:shd w:val="clear" w:color="auto" w:fill="FFFFFF"/>
        </w:rPr>
        <w:t>– Textural core analysis and integration with the geologic framework.</w:t>
      </w:r>
      <w:r>
        <w:rPr>
          <w:rFonts w:ascii="Arial" w:hAnsi="Arial" w:cs="Arial"/>
          <w:color w:val="727272"/>
          <w:sz w:val="23"/>
          <w:szCs w:val="23"/>
        </w:rPr>
        <w:br/>
      </w:r>
      <w:r>
        <w:rPr>
          <w:rFonts w:ascii="Arial" w:hAnsi="Arial" w:cs="Arial"/>
          <w:color w:val="727272"/>
          <w:sz w:val="23"/>
          <w:szCs w:val="23"/>
          <w:shd w:val="clear" w:color="auto" w:fill="FFFFFF"/>
        </w:rPr>
        <w:t>– Determination and evaluation of porosity.</w:t>
      </w:r>
      <w:r>
        <w:rPr>
          <w:rFonts w:ascii="Arial" w:hAnsi="Arial" w:cs="Arial"/>
          <w:color w:val="727272"/>
          <w:sz w:val="23"/>
          <w:szCs w:val="23"/>
        </w:rPr>
        <w:br/>
      </w:r>
      <w:r>
        <w:rPr>
          <w:rFonts w:ascii="Arial" w:hAnsi="Arial" w:cs="Arial"/>
          <w:color w:val="727272"/>
          <w:sz w:val="23"/>
          <w:szCs w:val="23"/>
          <w:shd w:val="clear" w:color="auto" w:fill="FFFFFF"/>
        </w:rPr>
        <w:t xml:space="preserve">– </w:t>
      </w:r>
      <w:proofErr w:type="spellStart"/>
      <w:r>
        <w:rPr>
          <w:rFonts w:ascii="Arial" w:hAnsi="Arial" w:cs="Arial"/>
          <w:color w:val="727272"/>
          <w:sz w:val="23"/>
          <w:szCs w:val="23"/>
          <w:shd w:val="clear" w:color="auto" w:fill="FFFFFF"/>
        </w:rPr>
        <w:t>Petrophysical</w:t>
      </w:r>
      <w:proofErr w:type="spellEnd"/>
      <w:r>
        <w:rPr>
          <w:rFonts w:ascii="Arial" w:hAnsi="Arial" w:cs="Arial"/>
          <w:color w:val="727272"/>
          <w:sz w:val="23"/>
          <w:szCs w:val="23"/>
          <w:shd w:val="clear" w:color="auto" w:fill="FFFFFF"/>
        </w:rPr>
        <w:t xml:space="preserve"> rock types and water saturation.</w:t>
      </w:r>
      <w:r>
        <w:rPr>
          <w:rFonts w:ascii="Arial" w:hAnsi="Arial" w:cs="Arial"/>
          <w:color w:val="727272"/>
          <w:sz w:val="23"/>
          <w:szCs w:val="23"/>
        </w:rPr>
        <w:br/>
      </w:r>
      <w:r>
        <w:rPr>
          <w:rFonts w:ascii="Arial" w:hAnsi="Arial" w:cs="Arial"/>
          <w:color w:val="727272"/>
          <w:sz w:val="23"/>
          <w:szCs w:val="23"/>
          <w:shd w:val="clear" w:color="auto" w:fill="FFFFFF"/>
        </w:rPr>
        <w:t>– Applied capillary pressure and calibrating water saturation.</w:t>
      </w:r>
      <w:r>
        <w:rPr>
          <w:rFonts w:ascii="Arial" w:hAnsi="Arial" w:cs="Arial"/>
          <w:color w:val="727272"/>
          <w:sz w:val="23"/>
          <w:szCs w:val="23"/>
        </w:rPr>
        <w:br/>
      </w:r>
      <w:r>
        <w:rPr>
          <w:rFonts w:ascii="Arial" w:hAnsi="Arial" w:cs="Arial"/>
          <w:color w:val="727272"/>
          <w:sz w:val="23"/>
          <w:szCs w:val="23"/>
          <w:shd w:val="clear" w:color="auto" w:fill="FFFFFF"/>
        </w:rPr>
        <w:t xml:space="preserve">– Reservoir </w:t>
      </w:r>
      <w:proofErr w:type="spellStart"/>
      <w:r>
        <w:rPr>
          <w:rFonts w:ascii="Arial" w:hAnsi="Arial" w:cs="Arial"/>
          <w:color w:val="727272"/>
          <w:sz w:val="23"/>
          <w:szCs w:val="23"/>
          <w:shd w:val="clear" w:color="auto" w:fill="FFFFFF"/>
        </w:rPr>
        <w:t>facies</w:t>
      </w:r>
      <w:proofErr w:type="spellEnd"/>
      <w:r>
        <w:rPr>
          <w:rFonts w:ascii="Arial" w:hAnsi="Arial" w:cs="Arial"/>
          <w:color w:val="727272"/>
          <w:sz w:val="23"/>
          <w:szCs w:val="23"/>
          <w:shd w:val="clear" w:color="auto" w:fill="FFFFFF"/>
        </w:rPr>
        <w:t xml:space="preserve"> characterization.</w:t>
      </w:r>
      <w:r>
        <w:rPr>
          <w:rFonts w:ascii="Arial" w:hAnsi="Arial" w:cs="Arial"/>
          <w:color w:val="727272"/>
          <w:sz w:val="23"/>
          <w:szCs w:val="23"/>
        </w:rPr>
        <w:br/>
      </w:r>
      <w:r>
        <w:rPr>
          <w:rFonts w:ascii="Arial" w:hAnsi="Arial" w:cs="Arial"/>
          <w:color w:val="727272"/>
          <w:sz w:val="23"/>
          <w:szCs w:val="23"/>
          <w:shd w:val="clear" w:color="auto" w:fill="FFFFFF"/>
        </w:rPr>
        <w:t>– Pore geometry, clays, and the relationship to water saturation.</w:t>
      </w:r>
      <w:r>
        <w:rPr>
          <w:rFonts w:ascii="Arial" w:hAnsi="Arial" w:cs="Arial"/>
          <w:color w:val="727272"/>
          <w:sz w:val="23"/>
          <w:szCs w:val="23"/>
        </w:rPr>
        <w:br/>
      </w:r>
      <w:r>
        <w:rPr>
          <w:rFonts w:ascii="Arial" w:hAnsi="Arial" w:cs="Arial"/>
          <w:color w:val="727272"/>
          <w:sz w:val="23"/>
          <w:szCs w:val="23"/>
          <w:shd w:val="clear" w:color="auto" w:fill="FFFFFF"/>
        </w:rPr>
        <w:t>– Flow units and permeability prediction.</w:t>
      </w:r>
    </w:p>
    <w:p w:rsidR="00544CFA" w:rsidRDefault="00544CFA" w:rsidP="00544CFA">
      <w:pPr>
        <w:pStyle w:val="Heading3"/>
        <w:spacing w:before="0"/>
        <w:textAlignment w:val="baseline"/>
        <w:rPr>
          <w:rFonts w:ascii="Arial" w:hAnsi="Arial" w:cs="Arial"/>
          <w:color w:val="383838"/>
          <w:sz w:val="36"/>
          <w:szCs w:val="36"/>
        </w:rPr>
      </w:pPr>
      <w:r>
        <w:rPr>
          <w:rFonts w:ascii="Arial" w:hAnsi="Arial" w:cs="Arial"/>
          <w:color w:val="383838"/>
          <w:sz w:val="36"/>
          <w:szCs w:val="36"/>
        </w:rPr>
        <w:t>Why we are different?</w:t>
      </w:r>
    </w:p>
    <w:p w:rsidR="00544CFA" w:rsidRDefault="00544CFA" w:rsidP="00544CFA">
      <w:pPr>
        <w:numPr>
          <w:ilvl w:val="0"/>
          <w:numId w:val="2"/>
        </w:numPr>
        <w:spacing w:after="0" w:line="240" w:lineRule="auto"/>
        <w:ind w:left="525"/>
        <w:textAlignment w:val="baseline"/>
        <w:rPr>
          <w:rFonts w:ascii="Arial" w:hAnsi="Arial" w:cs="Arial"/>
          <w:color w:val="727272"/>
          <w:sz w:val="23"/>
          <w:szCs w:val="23"/>
        </w:rPr>
      </w:pPr>
      <w:proofErr w:type="spellStart"/>
      <w:r>
        <w:rPr>
          <w:rFonts w:ascii="Arial" w:hAnsi="Arial" w:cs="Arial"/>
          <w:color w:val="727272"/>
          <w:sz w:val="23"/>
          <w:szCs w:val="23"/>
          <w:bdr w:val="none" w:sz="0" w:space="0" w:color="auto" w:frame="1"/>
        </w:rPr>
        <w:t>Rockserv</w:t>
      </w:r>
      <w:proofErr w:type="spellEnd"/>
      <w:r>
        <w:rPr>
          <w:rFonts w:ascii="Arial" w:hAnsi="Arial" w:cs="Arial"/>
          <w:color w:val="727272"/>
          <w:sz w:val="23"/>
          <w:szCs w:val="23"/>
          <w:bdr w:val="none" w:sz="0" w:space="0" w:color="auto" w:frame="1"/>
        </w:rPr>
        <w:t xml:space="preserve"> have a robust team of well experienced </w:t>
      </w:r>
      <w:proofErr w:type="spellStart"/>
      <w:r>
        <w:rPr>
          <w:rFonts w:ascii="Arial" w:hAnsi="Arial" w:cs="Arial"/>
          <w:color w:val="727272"/>
          <w:sz w:val="23"/>
          <w:szCs w:val="23"/>
          <w:bdr w:val="none" w:sz="0" w:space="0" w:color="auto" w:frame="1"/>
        </w:rPr>
        <w:t>Petrophysists</w:t>
      </w:r>
      <w:proofErr w:type="spellEnd"/>
      <w:r>
        <w:rPr>
          <w:rFonts w:ascii="Arial" w:hAnsi="Arial" w:cs="Arial"/>
          <w:color w:val="727272"/>
          <w:sz w:val="23"/>
          <w:szCs w:val="23"/>
          <w:bdr w:val="none" w:sz="0" w:space="0" w:color="auto" w:frame="1"/>
        </w:rPr>
        <w:t xml:space="preserve"> 20+ years, that worked in different reservoir exposures i.e. sandstone reservoirs, carbonate reservoirs, thin bedded sand, fractured reservoirs and Low Resistivity Low Contrast Pay.</w:t>
      </w:r>
    </w:p>
    <w:p w:rsidR="00544CFA" w:rsidRDefault="00544CFA" w:rsidP="00544CFA">
      <w:pPr>
        <w:numPr>
          <w:ilvl w:val="0"/>
          <w:numId w:val="2"/>
        </w:numPr>
        <w:spacing w:after="0" w:line="240" w:lineRule="auto"/>
        <w:ind w:left="525"/>
        <w:textAlignment w:val="baseline"/>
        <w:rPr>
          <w:rFonts w:ascii="Arial" w:hAnsi="Arial" w:cs="Arial"/>
          <w:color w:val="727272"/>
          <w:sz w:val="23"/>
          <w:szCs w:val="23"/>
        </w:rPr>
      </w:pPr>
      <w:r>
        <w:rPr>
          <w:rFonts w:ascii="Arial" w:hAnsi="Arial" w:cs="Arial"/>
          <w:color w:val="727272"/>
          <w:sz w:val="23"/>
          <w:szCs w:val="23"/>
          <w:bdr w:val="none" w:sz="0" w:space="0" w:color="auto" w:frame="1"/>
        </w:rPr>
        <w:t>Our team well understands tools physics of any logging operations at component level and can help quality control the acquisition process right from its inception and make cost effective logging programs to suite the reservoir challenges.</w:t>
      </w:r>
    </w:p>
    <w:p w:rsidR="00544CFA" w:rsidRDefault="00544CFA" w:rsidP="00544CFA">
      <w:pPr>
        <w:numPr>
          <w:ilvl w:val="0"/>
          <w:numId w:val="2"/>
        </w:numPr>
        <w:spacing w:after="0" w:line="240" w:lineRule="auto"/>
        <w:ind w:left="525"/>
        <w:textAlignment w:val="baseline"/>
        <w:rPr>
          <w:rFonts w:ascii="Arial" w:hAnsi="Arial" w:cs="Arial"/>
          <w:color w:val="727272"/>
          <w:sz w:val="23"/>
          <w:szCs w:val="23"/>
        </w:rPr>
      </w:pPr>
      <w:r>
        <w:rPr>
          <w:rFonts w:ascii="Arial" w:hAnsi="Arial" w:cs="Arial"/>
          <w:color w:val="727272"/>
          <w:sz w:val="23"/>
          <w:szCs w:val="23"/>
          <w:bdr w:val="none" w:sz="0" w:space="0" w:color="auto" w:frame="1"/>
        </w:rPr>
        <w:t>We are assuring high quality products and very competitive prices.</w:t>
      </w:r>
    </w:p>
    <w:p w:rsidR="00544CFA" w:rsidRDefault="00544CFA"/>
    <w:sectPr w:rsidR="00544CF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29F" w:rsidRDefault="0063029F" w:rsidP="007E0964">
      <w:pPr>
        <w:spacing w:after="0" w:line="240" w:lineRule="auto"/>
      </w:pPr>
      <w:r>
        <w:separator/>
      </w:r>
    </w:p>
  </w:endnote>
  <w:endnote w:type="continuationSeparator" w:id="0">
    <w:p w:rsidR="0063029F" w:rsidRDefault="0063029F" w:rsidP="007E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29F" w:rsidRDefault="0063029F" w:rsidP="007E0964">
      <w:pPr>
        <w:spacing w:after="0" w:line="240" w:lineRule="auto"/>
      </w:pPr>
      <w:r>
        <w:separator/>
      </w:r>
    </w:p>
  </w:footnote>
  <w:footnote w:type="continuationSeparator" w:id="0">
    <w:p w:rsidR="0063029F" w:rsidRDefault="0063029F" w:rsidP="007E0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964" w:rsidRDefault="007E0964" w:rsidP="007E0964">
    <w:pPr>
      <w:pStyle w:val="Header"/>
      <w:jc w:val="right"/>
    </w:pPr>
    <w:r>
      <w:rPr>
        <w:noProof/>
      </w:rPr>
      <w:drawing>
        <wp:inline distT="0" distB="0" distL="0" distR="0">
          <wp:extent cx="2280285" cy="715010"/>
          <wp:effectExtent l="0" t="0" r="5715" b="0"/>
          <wp:docPr id="2" name="Picture 2" descr="C:\Users\hp1\Desktop\Logo-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esktop\Logo-2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285" cy="7150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8CB"/>
    <w:multiLevelType w:val="multilevel"/>
    <w:tmpl w:val="F1A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DF7346"/>
    <w:multiLevelType w:val="multilevel"/>
    <w:tmpl w:val="1E2A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32A54D6"/>
    <w:multiLevelType w:val="hybridMultilevel"/>
    <w:tmpl w:val="B018F5BE"/>
    <w:lvl w:ilvl="0" w:tplc="04090005">
      <w:start w:val="1"/>
      <w:numFmt w:val="bullet"/>
      <w:lvlText w:val=""/>
      <w:lvlJc w:val="left"/>
      <w:pPr>
        <w:ind w:left="1255" w:hanging="360"/>
      </w:pPr>
      <w:rPr>
        <w:rFonts w:ascii="Wingdings" w:hAnsi="Wingdings"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3">
    <w:nsid w:val="4D434D01"/>
    <w:multiLevelType w:val="hybridMultilevel"/>
    <w:tmpl w:val="ED7EB4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FF91C5A"/>
    <w:multiLevelType w:val="multilevel"/>
    <w:tmpl w:val="B5DC2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FA"/>
    <w:rsid w:val="00475B7B"/>
    <w:rsid w:val="00544CFA"/>
    <w:rsid w:val="00582CC4"/>
    <w:rsid w:val="0063029F"/>
    <w:rsid w:val="007E0964"/>
    <w:rsid w:val="00A91B5F"/>
    <w:rsid w:val="00AA40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44C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44C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544CF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544CFA"/>
    <w:rPr>
      <w:rFonts w:ascii="Times New Roman" w:eastAsia="Times New Roman" w:hAnsi="Times New Roman" w:cs="Times New Roman"/>
      <w:b/>
      <w:bCs/>
      <w:sz w:val="20"/>
      <w:szCs w:val="20"/>
    </w:rPr>
  </w:style>
  <w:style w:type="character" w:styleId="Strong">
    <w:name w:val="Strong"/>
    <w:basedOn w:val="DefaultParagraphFont"/>
    <w:uiPriority w:val="22"/>
    <w:qFormat/>
    <w:rsid w:val="00544CFA"/>
    <w:rPr>
      <w:b/>
      <w:bCs/>
    </w:rPr>
  </w:style>
  <w:style w:type="paragraph" w:styleId="NormalWeb">
    <w:name w:val="Normal (Web)"/>
    <w:basedOn w:val="Normal"/>
    <w:uiPriority w:val="99"/>
    <w:semiHidden/>
    <w:unhideWhenUsed/>
    <w:rsid w:val="00544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44CF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544CF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44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CFA"/>
    <w:rPr>
      <w:rFonts w:ascii="Tahoma" w:hAnsi="Tahoma" w:cs="Tahoma"/>
      <w:sz w:val="16"/>
      <w:szCs w:val="16"/>
    </w:rPr>
  </w:style>
  <w:style w:type="paragraph" w:styleId="ListParagraph">
    <w:name w:val="List Paragraph"/>
    <w:basedOn w:val="Normal"/>
    <w:uiPriority w:val="34"/>
    <w:qFormat/>
    <w:rsid w:val="00544CFA"/>
    <w:pPr>
      <w:ind w:left="720"/>
      <w:contextualSpacing/>
    </w:pPr>
  </w:style>
  <w:style w:type="paragraph" w:styleId="Header">
    <w:name w:val="header"/>
    <w:basedOn w:val="Normal"/>
    <w:link w:val="HeaderChar"/>
    <w:uiPriority w:val="99"/>
    <w:unhideWhenUsed/>
    <w:rsid w:val="007E0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964"/>
  </w:style>
  <w:style w:type="paragraph" w:styleId="Footer">
    <w:name w:val="footer"/>
    <w:basedOn w:val="Normal"/>
    <w:link w:val="FooterChar"/>
    <w:uiPriority w:val="99"/>
    <w:unhideWhenUsed/>
    <w:rsid w:val="007E0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9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44C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44C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544CF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544CFA"/>
    <w:rPr>
      <w:rFonts w:ascii="Times New Roman" w:eastAsia="Times New Roman" w:hAnsi="Times New Roman" w:cs="Times New Roman"/>
      <w:b/>
      <w:bCs/>
      <w:sz w:val="20"/>
      <w:szCs w:val="20"/>
    </w:rPr>
  </w:style>
  <w:style w:type="character" w:styleId="Strong">
    <w:name w:val="Strong"/>
    <w:basedOn w:val="DefaultParagraphFont"/>
    <w:uiPriority w:val="22"/>
    <w:qFormat/>
    <w:rsid w:val="00544CFA"/>
    <w:rPr>
      <w:b/>
      <w:bCs/>
    </w:rPr>
  </w:style>
  <w:style w:type="paragraph" w:styleId="NormalWeb">
    <w:name w:val="Normal (Web)"/>
    <w:basedOn w:val="Normal"/>
    <w:uiPriority w:val="99"/>
    <w:semiHidden/>
    <w:unhideWhenUsed/>
    <w:rsid w:val="00544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44CF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544CF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44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CFA"/>
    <w:rPr>
      <w:rFonts w:ascii="Tahoma" w:hAnsi="Tahoma" w:cs="Tahoma"/>
      <w:sz w:val="16"/>
      <w:szCs w:val="16"/>
    </w:rPr>
  </w:style>
  <w:style w:type="paragraph" w:styleId="ListParagraph">
    <w:name w:val="List Paragraph"/>
    <w:basedOn w:val="Normal"/>
    <w:uiPriority w:val="34"/>
    <w:qFormat/>
    <w:rsid w:val="00544CFA"/>
    <w:pPr>
      <w:ind w:left="720"/>
      <w:contextualSpacing/>
    </w:pPr>
  </w:style>
  <w:style w:type="paragraph" w:styleId="Header">
    <w:name w:val="header"/>
    <w:basedOn w:val="Normal"/>
    <w:link w:val="HeaderChar"/>
    <w:uiPriority w:val="99"/>
    <w:unhideWhenUsed/>
    <w:rsid w:val="007E0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964"/>
  </w:style>
  <w:style w:type="paragraph" w:styleId="Footer">
    <w:name w:val="footer"/>
    <w:basedOn w:val="Normal"/>
    <w:link w:val="FooterChar"/>
    <w:uiPriority w:val="99"/>
    <w:unhideWhenUsed/>
    <w:rsid w:val="007E0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361052">
      <w:bodyDiv w:val="1"/>
      <w:marLeft w:val="0"/>
      <w:marRight w:val="0"/>
      <w:marTop w:val="0"/>
      <w:marBottom w:val="0"/>
      <w:divBdr>
        <w:top w:val="none" w:sz="0" w:space="0" w:color="auto"/>
        <w:left w:val="none" w:sz="0" w:space="0" w:color="auto"/>
        <w:bottom w:val="none" w:sz="0" w:space="0" w:color="auto"/>
        <w:right w:val="none" w:sz="0" w:space="0" w:color="auto"/>
      </w:divBdr>
    </w:div>
    <w:div w:id="835270730">
      <w:bodyDiv w:val="1"/>
      <w:marLeft w:val="0"/>
      <w:marRight w:val="0"/>
      <w:marTop w:val="0"/>
      <w:marBottom w:val="0"/>
      <w:divBdr>
        <w:top w:val="none" w:sz="0" w:space="0" w:color="auto"/>
        <w:left w:val="none" w:sz="0" w:space="0" w:color="auto"/>
        <w:bottom w:val="none" w:sz="0" w:space="0" w:color="auto"/>
        <w:right w:val="none" w:sz="0" w:space="0" w:color="auto"/>
      </w:divBdr>
    </w:div>
    <w:div w:id="1159151777">
      <w:bodyDiv w:val="1"/>
      <w:marLeft w:val="0"/>
      <w:marRight w:val="0"/>
      <w:marTop w:val="0"/>
      <w:marBottom w:val="0"/>
      <w:divBdr>
        <w:top w:val="none" w:sz="0" w:space="0" w:color="auto"/>
        <w:left w:val="none" w:sz="0" w:space="0" w:color="auto"/>
        <w:bottom w:val="none" w:sz="0" w:space="0" w:color="auto"/>
        <w:right w:val="none" w:sz="0" w:space="0" w:color="auto"/>
      </w:divBdr>
    </w:div>
    <w:div w:id="1374312387">
      <w:bodyDiv w:val="1"/>
      <w:marLeft w:val="0"/>
      <w:marRight w:val="0"/>
      <w:marTop w:val="0"/>
      <w:marBottom w:val="0"/>
      <w:divBdr>
        <w:top w:val="none" w:sz="0" w:space="0" w:color="auto"/>
        <w:left w:val="none" w:sz="0" w:space="0" w:color="auto"/>
        <w:bottom w:val="none" w:sz="0" w:space="0" w:color="auto"/>
        <w:right w:val="none" w:sz="0" w:space="0" w:color="auto"/>
      </w:divBdr>
    </w:div>
    <w:div w:id="1498114411">
      <w:bodyDiv w:val="1"/>
      <w:marLeft w:val="0"/>
      <w:marRight w:val="0"/>
      <w:marTop w:val="0"/>
      <w:marBottom w:val="0"/>
      <w:divBdr>
        <w:top w:val="none" w:sz="0" w:space="0" w:color="auto"/>
        <w:left w:val="none" w:sz="0" w:space="0" w:color="auto"/>
        <w:bottom w:val="none" w:sz="0" w:space="0" w:color="auto"/>
        <w:right w:val="none" w:sz="0" w:space="0" w:color="auto"/>
      </w:divBdr>
      <w:divsChild>
        <w:div w:id="834495125">
          <w:marLeft w:val="0"/>
          <w:marRight w:val="0"/>
          <w:marTop w:val="0"/>
          <w:marBottom w:val="0"/>
          <w:divBdr>
            <w:top w:val="none" w:sz="0" w:space="0" w:color="auto"/>
            <w:left w:val="none" w:sz="0" w:space="0" w:color="auto"/>
            <w:bottom w:val="none" w:sz="0" w:space="0" w:color="auto"/>
            <w:right w:val="none" w:sz="0" w:space="0" w:color="auto"/>
          </w:divBdr>
          <w:divsChild>
            <w:div w:id="820271435">
              <w:marLeft w:val="0"/>
              <w:marRight w:val="0"/>
              <w:marTop w:val="0"/>
              <w:marBottom w:val="0"/>
              <w:divBdr>
                <w:top w:val="none" w:sz="0" w:space="0" w:color="auto"/>
                <w:left w:val="none" w:sz="0" w:space="0" w:color="auto"/>
                <w:bottom w:val="none" w:sz="0" w:space="0" w:color="auto"/>
                <w:right w:val="none" w:sz="0" w:space="0" w:color="auto"/>
              </w:divBdr>
            </w:div>
          </w:divsChild>
        </w:div>
        <w:div w:id="1805730956">
          <w:marLeft w:val="0"/>
          <w:marRight w:val="0"/>
          <w:marTop w:val="0"/>
          <w:marBottom w:val="0"/>
          <w:divBdr>
            <w:top w:val="none" w:sz="0" w:space="0" w:color="auto"/>
            <w:left w:val="none" w:sz="0" w:space="0" w:color="auto"/>
            <w:bottom w:val="none" w:sz="0" w:space="0" w:color="auto"/>
            <w:right w:val="none" w:sz="0" w:space="0" w:color="auto"/>
          </w:divBdr>
          <w:divsChild>
            <w:div w:id="6762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9897">
      <w:bodyDiv w:val="1"/>
      <w:marLeft w:val="0"/>
      <w:marRight w:val="0"/>
      <w:marTop w:val="0"/>
      <w:marBottom w:val="0"/>
      <w:divBdr>
        <w:top w:val="none" w:sz="0" w:space="0" w:color="auto"/>
        <w:left w:val="none" w:sz="0" w:space="0" w:color="auto"/>
        <w:bottom w:val="none" w:sz="0" w:space="0" w:color="auto"/>
        <w:right w:val="none" w:sz="0" w:space="0" w:color="auto"/>
      </w:divBdr>
    </w:div>
    <w:div w:id="1605961300">
      <w:bodyDiv w:val="1"/>
      <w:marLeft w:val="0"/>
      <w:marRight w:val="0"/>
      <w:marTop w:val="0"/>
      <w:marBottom w:val="0"/>
      <w:divBdr>
        <w:top w:val="none" w:sz="0" w:space="0" w:color="auto"/>
        <w:left w:val="none" w:sz="0" w:space="0" w:color="auto"/>
        <w:bottom w:val="none" w:sz="0" w:space="0" w:color="auto"/>
        <w:right w:val="none" w:sz="0" w:space="0" w:color="auto"/>
      </w:divBdr>
    </w:div>
    <w:div w:id="1613323257">
      <w:bodyDiv w:val="1"/>
      <w:marLeft w:val="0"/>
      <w:marRight w:val="0"/>
      <w:marTop w:val="0"/>
      <w:marBottom w:val="0"/>
      <w:divBdr>
        <w:top w:val="none" w:sz="0" w:space="0" w:color="auto"/>
        <w:left w:val="none" w:sz="0" w:space="0" w:color="auto"/>
        <w:bottom w:val="none" w:sz="0" w:space="0" w:color="auto"/>
        <w:right w:val="none" w:sz="0" w:space="0" w:color="auto"/>
      </w:divBdr>
    </w:div>
    <w:div w:id="1942832510">
      <w:bodyDiv w:val="1"/>
      <w:marLeft w:val="0"/>
      <w:marRight w:val="0"/>
      <w:marTop w:val="0"/>
      <w:marBottom w:val="0"/>
      <w:divBdr>
        <w:top w:val="none" w:sz="0" w:space="0" w:color="auto"/>
        <w:left w:val="none" w:sz="0" w:space="0" w:color="auto"/>
        <w:bottom w:val="none" w:sz="0" w:space="0" w:color="auto"/>
        <w:right w:val="none" w:sz="0" w:space="0" w:color="auto"/>
      </w:divBdr>
    </w:div>
    <w:div w:id="210568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hp1</cp:lastModifiedBy>
  <cp:revision>3</cp:revision>
  <cp:lastPrinted>2019-10-10T11:10:00Z</cp:lastPrinted>
  <dcterms:created xsi:type="dcterms:W3CDTF">2019-10-10T10:57:00Z</dcterms:created>
  <dcterms:modified xsi:type="dcterms:W3CDTF">2019-10-10T12:28:00Z</dcterms:modified>
</cp:coreProperties>
</file>